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1C79">
        <w:rPr>
          <w:rFonts w:ascii="Times New Roman" w:hAnsi="Times New Roman"/>
          <w:b/>
          <w:sz w:val="24"/>
          <w:szCs w:val="24"/>
        </w:rPr>
        <w:t>3GPP TSG-RAN</w:t>
      </w:r>
      <w:r w:rsidRPr="001C1C79">
        <w:rPr>
          <w:rFonts w:ascii="Times New Roman" w:hAnsi="Times New Roman"/>
          <w:sz w:val="24"/>
          <w:szCs w:val="24"/>
        </w:rPr>
        <w:t xml:space="preserve"> </w:t>
      </w:r>
      <w:r w:rsidRPr="001C1C79">
        <w:rPr>
          <w:rFonts w:ascii="Times New Roman" w:hAnsi="Times New Roman"/>
          <w:b/>
          <w:sz w:val="24"/>
          <w:szCs w:val="24"/>
        </w:rPr>
        <w:t>WG1 Meeting#10</w:t>
      </w:r>
      <w:r w:rsidR="00093291">
        <w:rPr>
          <w:rFonts w:ascii="Times New Roman" w:hAnsi="Times New Roman"/>
          <w:b/>
          <w:sz w:val="24"/>
          <w:szCs w:val="24"/>
        </w:rPr>
        <w:t>8</w:t>
      </w:r>
      <w:r w:rsidRPr="001C1C79">
        <w:rPr>
          <w:rFonts w:ascii="Times New Roman" w:hAnsi="Times New Roman"/>
          <w:b/>
          <w:sz w:val="24"/>
          <w:szCs w:val="24"/>
        </w:rPr>
        <w:t xml:space="preserve">-e                                       </w:t>
      </w:r>
      <w:r w:rsidRPr="00DF0FBA">
        <w:rPr>
          <w:rFonts w:ascii="Times New Roman" w:hAnsi="Times New Roman"/>
          <w:b/>
          <w:sz w:val="24"/>
          <w:szCs w:val="24"/>
          <w:lang w:val="en-US"/>
        </w:rPr>
        <w:t>R1-2</w:t>
      </w:r>
      <w:r w:rsidR="00093291" w:rsidRPr="00DF0FBA">
        <w:rPr>
          <w:rFonts w:ascii="Times New Roman" w:hAnsi="Times New Roman"/>
          <w:b/>
          <w:sz w:val="24"/>
          <w:szCs w:val="24"/>
          <w:lang w:val="en-US"/>
        </w:rPr>
        <w:t>2</w:t>
      </w:r>
      <w:r w:rsidRPr="00DF0FBA">
        <w:rPr>
          <w:rFonts w:ascii="Times New Roman" w:hAnsi="Times New Roman"/>
          <w:b/>
          <w:sz w:val="24"/>
          <w:szCs w:val="24"/>
          <w:lang w:val="en-US"/>
        </w:rPr>
        <w:t>0</w:t>
      </w:r>
      <w:r w:rsidR="00DF0FBA" w:rsidRPr="00DF0FBA">
        <w:rPr>
          <w:rFonts w:ascii="Times New Roman" w:hAnsi="Times New Roman"/>
          <w:b/>
          <w:sz w:val="24"/>
          <w:szCs w:val="24"/>
          <w:lang w:val="en-US" w:eastAsia="ko-KR"/>
        </w:rPr>
        <w:t>1976</w:t>
      </w:r>
    </w:p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093291">
        <w:rPr>
          <w:rFonts w:ascii="Times New Roman" w:hAnsi="Times New Roman"/>
          <w:b/>
          <w:sz w:val="24"/>
          <w:szCs w:val="24"/>
        </w:rPr>
        <w:t>February 21</w:t>
      </w:r>
      <w:r w:rsidR="00093291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305394" w:rsidRPr="001C1C79">
        <w:rPr>
          <w:rFonts w:ascii="Times New Roman" w:hAnsi="Times New Roman"/>
          <w:b/>
          <w:sz w:val="24"/>
          <w:szCs w:val="24"/>
        </w:rPr>
        <w:t xml:space="preserve"> – </w:t>
      </w:r>
      <w:r w:rsidR="00093291">
        <w:rPr>
          <w:rFonts w:ascii="Times New Roman" w:hAnsi="Times New Roman"/>
          <w:b/>
          <w:sz w:val="24"/>
          <w:szCs w:val="24"/>
        </w:rPr>
        <w:t>March 3</w:t>
      </w:r>
      <w:r w:rsidR="00093291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093291">
        <w:rPr>
          <w:rFonts w:ascii="Times New Roman" w:hAnsi="Times New Roman"/>
          <w:b/>
          <w:sz w:val="24"/>
          <w:szCs w:val="24"/>
          <w:lang w:eastAsia="zh-CN"/>
        </w:rPr>
        <w:t>, 2022</w:t>
      </w:r>
    </w:p>
    <w:p w:rsidR="001462CC" w:rsidRPr="001C1C79" w:rsidRDefault="001462CC" w:rsidP="001462CC">
      <w:pPr>
        <w:rPr>
          <w:sz w:val="20"/>
          <w:szCs w:val="20"/>
          <w:lang w:eastAsia="zh-CN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Title:</w:t>
      </w:r>
      <w:r w:rsidRPr="001C1C79">
        <w:rPr>
          <w:b/>
          <w:sz w:val="20"/>
          <w:szCs w:val="20"/>
        </w:rPr>
        <w:tab/>
      </w:r>
      <w:r w:rsidR="00F06915" w:rsidRPr="001C1C79">
        <w:rPr>
          <w:b/>
          <w:sz w:val="20"/>
          <w:szCs w:val="20"/>
        </w:rPr>
        <w:t xml:space="preserve">[Draft] </w:t>
      </w:r>
      <w:r w:rsidR="00DF0FBA" w:rsidRPr="00DF0FBA">
        <w:rPr>
          <w:sz w:val="20"/>
          <w:szCs w:val="20"/>
        </w:rPr>
        <w:t>Reply</w:t>
      </w:r>
      <w:r w:rsidR="00DF0FBA">
        <w:rPr>
          <w:b/>
          <w:sz w:val="20"/>
          <w:szCs w:val="20"/>
        </w:rPr>
        <w:t xml:space="preserve"> </w:t>
      </w:r>
      <w:r w:rsidRPr="001C1C79">
        <w:rPr>
          <w:sz w:val="20"/>
          <w:szCs w:val="20"/>
        </w:rPr>
        <w:t xml:space="preserve">LS </w:t>
      </w:r>
      <w:bookmarkStart w:id="0" w:name="_GoBack"/>
      <w:bookmarkEnd w:id="0"/>
      <w:r w:rsidR="00093291" w:rsidRPr="00093291">
        <w:rPr>
          <w:bCs/>
          <w:sz w:val="20"/>
          <w:szCs w:val="20"/>
          <w:lang w:val="en-GB"/>
        </w:rPr>
        <w:t>on MPE information signalling</w:t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Response to:</w:t>
      </w:r>
      <w:r w:rsidRPr="001C1C79">
        <w:rPr>
          <w:bCs/>
          <w:sz w:val="20"/>
          <w:szCs w:val="20"/>
        </w:rPr>
        <w:tab/>
      </w:r>
      <w:r w:rsidRPr="00093291">
        <w:rPr>
          <w:sz w:val="20"/>
          <w:szCs w:val="20"/>
        </w:rPr>
        <w:t>R1-2</w:t>
      </w:r>
      <w:r w:rsidR="00093291" w:rsidRPr="00093291">
        <w:rPr>
          <w:sz w:val="20"/>
          <w:szCs w:val="20"/>
        </w:rPr>
        <w:t>2</w:t>
      </w:r>
      <w:r w:rsidRPr="00093291">
        <w:rPr>
          <w:sz w:val="20"/>
          <w:szCs w:val="20"/>
        </w:rPr>
        <w:t>0</w:t>
      </w:r>
      <w:r w:rsidR="00093291" w:rsidRPr="00093291">
        <w:rPr>
          <w:sz w:val="20"/>
          <w:szCs w:val="20"/>
        </w:rPr>
        <w:t>0859</w:t>
      </w:r>
      <w:r w:rsidRPr="001C1C79">
        <w:rPr>
          <w:sz w:val="20"/>
          <w:szCs w:val="20"/>
        </w:rPr>
        <w:t>/R</w:t>
      </w:r>
      <w:r w:rsidR="00093291">
        <w:rPr>
          <w:sz w:val="20"/>
          <w:szCs w:val="20"/>
        </w:rPr>
        <w:t>2</w:t>
      </w:r>
      <w:r w:rsidRPr="001C1C79">
        <w:rPr>
          <w:sz w:val="20"/>
          <w:szCs w:val="20"/>
        </w:rPr>
        <w:t>-21</w:t>
      </w:r>
      <w:r w:rsidR="00093291">
        <w:rPr>
          <w:sz w:val="20"/>
          <w:szCs w:val="20"/>
        </w:rPr>
        <w:t>11600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Release:</w:t>
      </w:r>
      <w:r w:rsidRPr="001C1C79">
        <w:rPr>
          <w:bCs/>
          <w:sz w:val="20"/>
          <w:szCs w:val="20"/>
        </w:rPr>
        <w:tab/>
        <w:t>Rel-17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Work Item:</w:t>
      </w:r>
      <w:r w:rsidRPr="001C1C79">
        <w:rPr>
          <w:bCs/>
          <w:sz w:val="20"/>
          <w:szCs w:val="20"/>
        </w:rPr>
        <w:tab/>
      </w:r>
      <w:r w:rsidRPr="001C1C79">
        <w:rPr>
          <w:bCs/>
          <w:sz w:val="20"/>
          <w:szCs w:val="20"/>
          <w:lang w:val="en-GB"/>
        </w:rPr>
        <w:t>NR_FeMIMO-Core</w:t>
      </w:r>
    </w:p>
    <w:p w:rsidR="001462CC" w:rsidRPr="001C1C79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1C1C79">
        <w:rPr>
          <w:b/>
          <w:sz w:val="20"/>
          <w:szCs w:val="20"/>
        </w:rPr>
        <w:t>Source:</w:t>
      </w:r>
      <w:r w:rsidRPr="001C1C79">
        <w:rPr>
          <w:bCs/>
          <w:sz w:val="20"/>
          <w:szCs w:val="20"/>
        </w:rPr>
        <w:tab/>
        <w:t>RAN1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To:</w:t>
      </w:r>
      <w:r w:rsidRPr="001C1C79">
        <w:rPr>
          <w:bCs/>
          <w:sz w:val="20"/>
          <w:szCs w:val="20"/>
        </w:rPr>
        <w:tab/>
      </w:r>
      <w:r w:rsidRPr="001C1C79">
        <w:rPr>
          <w:rFonts w:eastAsia="SimSun"/>
          <w:bCs/>
          <w:sz w:val="20"/>
          <w:szCs w:val="20"/>
          <w:lang w:eastAsia="zh-CN"/>
        </w:rPr>
        <w:t>RAN2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Cc:</w:t>
      </w:r>
      <w:r w:rsidR="00093291">
        <w:rPr>
          <w:bCs/>
          <w:sz w:val="20"/>
          <w:szCs w:val="20"/>
        </w:rPr>
        <w:tab/>
        <w:t>RAN4</w:t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1C1C79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Contact Person:</w:t>
      </w:r>
      <w:r w:rsidRPr="001C1C79">
        <w:rPr>
          <w:bCs/>
          <w:sz w:val="20"/>
          <w:szCs w:val="20"/>
        </w:rPr>
        <w:tab/>
      </w:r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Name:</w:t>
      </w:r>
      <w:r w:rsidRPr="001C1C79">
        <w:rPr>
          <w:b/>
          <w:sz w:val="20"/>
          <w:szCs w:val="20"/>
        </w:rPr>
        <w:tab/>
      </w:r>
      <w:proofErr w:type="spellStart"/>
      <w:r w:rsidRPr="001C1C79">
        <w:rPr>
          <w:sz w:val="20"/>
          <w:szCs w:val="20"/>
        </w:rPr>
        <w:t>Emad</w:t>
      </w:r>
      <w:proofErr w:type="spellEnd"/>
      <w:r w:rsidRPr="001C1C79">
        <w:rPr>
          <w:sz w:val="20"/>
          <w:szCs w:val="20"/>
        </w:rPr>
        <w:t xml:space="preserve"> </w:t>
      </w:r>
      <w:proofErr w:type="spellStart"/>
      <w:r w:rsidRPr="001C1C79">
        <w:rPr>
          <w:sz w:val="20"/>
          <w:szCs w:val="20"/>
        </w:rPr>
        <w:t>Farag</w:t>
      </w:r>
      <w:proofErr w:type="spellEnd"/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E-mail Address:</w:t>
      </w:r>
      <w:r w:rsidRPr="001C1C79">
        <w:rPr>
          <w:b/>
          <w:sz w:val="20"/>
          <w:szCs w:val="20"/>
        </w:rPr>
        <w:tab/>
      </w:r>
      <w:r w:rsidRPr="001C1C79">
        <w:rPr>
          <w:sz w:val="20"/>
          <w:szCs w:val="20"/>
        </w:rPr>
        <w:t>e.farag@samsung.com</w:t>
      </w:r>
    </w:p>
    <w:p w:rsidR="001C1C79" w:rsidRPr="00265DAD" w:rsidRDefault="001C1C79" w:rsidP="001C1C79"/>
    <w:p w:rsidR="001C1C79" w:rsidRPr="00FA0873" w:rsidRDefault="001C1C79" w:rsidP="001C1C79">
      <w:pPr>
        <w:pStyle w:val="Heading1"/>
        <w:rPr>
          <w:sz w:val="24"/>
          <w:szCs w:val="20"/>
        </w:rPr>
      </w:pPr>
      <w:r>
        <w:rPr>
          <w:sz w:val="24"/>
          <w:szCs w:val="20"/>
        </w:rPr>
        <w:t>Overall description</w:t>
      </w: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RAN2 for the LS on “</w:t>
      </w:r>
      <w:r w:rsidR="00093291" w:rsidRPr="00093291">
        <w:rPr>
          <w:iCs/>
          <w:color w:val="000000" w:themeColor="text1"/>
          <w:sz w:val="20"/>
          <w:szCs w:val="20"/>
        </w:rPr>
        <w:t xml:space="preserve">MPE information </w:t>
      </w:r>
      <w:proofErr w:type="spellStart"/>
      <w:r w:rsidR="00093291" w:rsidRPr="00093291">
        <w:rPr>
          <w:iCs/>
          <w:color w:val="000000" w:themeColor="text1"/>
          <w:sz w:val="20"/>
          <w:szCs w:val="20"/>
        </w:rPr>
        <w:t>signalling</w:t>
      </w:r>
      <w:proofErr w:type="spellEnd"/>
      <w:r>
        <w:rPr>
          <w:iCs/>
          <w:color w:val="000000" w:themeColor="text1"/>
          <w:sz w:val="20"/>
          <w:szCs w:val="20"/>
        </w:rPr>
        <w:t xml:space="preserve">”. In the LS, </w:t>
      </w:r>
      <w:r w:rsidR="00093291">
        <w:rPr>
          <w:iCs/>
          <w:color w:val="000000" w:themeColor="text1"/>
          <w:sz w:val="20"/>
          <w:szCs w:val="20"/>
        </w:rPr>
        <w:t>RAN2 raised a question on the applicability of the MPE signaling parameters</w:t>
      </w:r>
      <w:r>
        <w:rPr>
          <w:iCs/>
          <w:color w:val="000000" w:themeColor="text1"/>
          <w:sz w:val="20"/>
          <w:szCs w:val="20"/>
        </w:rPr>
        <w:t>:</w:t>
      </w:r>
    </w:p>
    <w:p w:rsidR="001C1C79" w:rsidRDefault="001C1C79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48D17" wp14:editId="77858B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79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93291" w:rsidRPr="00093291" w:rsidRDefault="00093291" w:rsidP="00093291">
                            <w:pPr>
                              <w:pStyle w:val="ListParagraph"/>
                              <w:ind w:left="4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… </w:t>
                            </w:r>
                            <w:r w:rsidRPr="00093291">
                              <w:rPr>
                                <w:sz w:val="20"/>
                              </w:rPr>
                              <w:t xml:space="preserve">there are new signalling aspects (i.e. parameters mpe-Reporting-FR2-r17, </w:t>
                            </w:r>
                            <w:proofErr w:type="spellStart"/>
                            <w:r w:rsidRPr="00093291">
                              <w:rPr>
                                <w:sz w:val="20"/>
                              </w:rPr>
                              <w:t>numberOfN</w:t>
                            </w:r>
                            <w:proofErr w:type="spellEnd"/>
                            <w:r w:rsidRPr="00093291">
                              <w:rPr>
                                <w:sz w:val="20"/>
                              </w:rPr>
                              <w:t xml:space="preserve"> and </w:t>
                            </w:r>
                            <w:proofErr w:type="spellStart"/>
                            <w:r w:rsidRPr="00093291">
                              <w:rPr>
                                <w:sz w:val="20"/>
                              </w:rPr>
                              <w:t>mpe-ResourcePool</w:t>
                            </w:r>
                            <w:proofErr w:type="spellEnd"/>
                            <w:r w:rsidRPr="00093291">
                              <w:rPr>
                                <w:sz w:val="20"/>
                              </w:rPr>
                              <w:t xml:space="preserve"> for the sub-feature "</w:t>
                            </w:r>
                            <w:proofErr w:type="spellStart"/>
                            <w:r w:rsidRPr="00093291">
                              <w:rPr>
                                <w:sz w:val="20"/>
                              </w:rPr>
                              <w:t>MultiBeam</w:t>
                            </w:r>
                            <w:proofErr w:type="spellEnd"/>
                            <w:r w:rsidRPr="00093291">
                              <w:rPr>
                                <w:sz w:val="20"/>
                              </w:rPr>
                              <w:t xml:space="preserve">") for the MPE RRC configuration and corresponding changes to MAC CE </w:t>
                            </w:r>
                            <w:proofErr w:type="spellStart"/>
                            <w:r w:rsidRPr="00093291">
                              <w:rPr>
                                <w:sz w:val="20"/>
                              </w:rPr>
                              <w:t>signallling</w:t>
                            </w:r>
                            <w:proofErr w:type="spellEnd"/>
                            <w:r w:rsidRPr="00093291">
                              <w:rPr>
                                <w:sz w:val="20"/>
                              </w:rPr>
                              <w:t xml:space="preserve"> (i.e. P-MPR reporting in MAC CE for multiple beams according to RRC configuration).</w:t>
                            </w:r>
                          </w:p>
                          <w:p w:rsidR="009B3317" w:rsidRPr="003941F4" w:rsidRDefault="00093291" w:rsidP="00093291">
                            <w:pPr>
                              <w:pStyle w:val="ListParagraph"/>
                              <w:ind w:left="420"/>
                              <w:rPr>
                                <w:sz w:val="20"/>
                              </w:rPr>
                            </w:pPr>
                            <w:r w:rsidRPr="00093291">
                              <w:rPr>
                                <w:sz w:val="20"/>
                              </w:rPr>
                              <w:t>RAN2 understands that these parameters apply to the inter-cell beam management (ICBM) framework, but would like to understand if these MPE reporting changes would also apply to the multi-TRP (</w:t>
                            </w:r>
                            <w:proofErr w:type="spellStart"/>
                            <w:r w:rsidRPr="00093291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093291">
                              <w:rPr>
                                <w:sz w:val="20"/>
                              </w:rPr>
                              <w:t>) framework?</w:t>
                            </w:r>
                            <w:r w:rsidR="009B3317" w:rsidRPr="009B3317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648D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/p2bx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:rsidR="00093291" w:rsidRPr="00093291" w:rsidRDefault="00093291" w:rsidP="00093291">
                      <w:pPr>
                        <w:pStyle w:val="ListParagraph"/>
                        <w:ind w:left="4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… </w:t>
                      </w:r>
                      <w:r w:rsidRPr="00093291">
                        <w:rPr>
                          <w:sz w:val="20"/>
                        </w:rPr>
                        <w:t xml:space="preserve">there are new signalling aspects (i.e. parameters mpe-Reporting-FR2-r17, </w:t>
                      </w:r>
                      <w:proofErr w:type="spellStart"/>
                      <w:r w:rsidRPr="00093291">
                        <w:rPr>
                          <w:sz w:val="20"/>
                        </w:rPr>
                        <w:t>numberOfN</w:t>
                      </w:r>
                      <w:proofErr w:type="spellEnd"/>
                      <w:r w:rsidRPr="00093291">
                        <w:rPr>
                          <w:sz w:val="20"/>
                        </w:rPr>
                        <w:t xml:space="preserve"> and </w:t>
                      </w:r>
                      <w:proofErr w:type="spellStart"/>
                      <w:r w:rsidRPr="00093291">
                        <w:rPr>
                          <w:sz w:val="20"/>
                        </w:rPr>
                        <w:t>mpe-ResourcePool</w:t>
                      </w:r>
                      <w:proofErr w:type="spellEnd"/>
                      <w:r w:rsidRPr="00093291">
                        <w:rPr>
                          <w:sz w:val="20"/>
                        </w:rPr>
                        <w:t xml:space="preserve"> for the sub-feature "</w:t>
                      </w:r>
                      <w:proofErr w:type="spellStart"/>
                      <w:r w:rsidRPr="00093291">
                        <w:rPr>
                          <w:sz w:val="20"/>
                        </w:rPr>
                        <w:t>MultiBeam</w:t>
                      </w:r>
                      <w:proofErr w:type="spellEnd"/>
                      <w:r w:rsidRPr="00093291">
                        <w:rPr>
                          <w:sz w:val="20"/>
                        </w:rPr>
                        <w:t xml:space="preserve">") for the MPE RRC configuration and corresponding changes to MAC CE </w:t>
                      </w:r>
                      <w:proofErr w:type="spellStart"/>
                      <w:r w:rsidRPr="00093291">
                        <w:rPr>
                          <w:sz w:val="20"/>
                        </w:rPr>
                        <w:t>signallling</w:t>
                      </w:r>
                      <w:proofErr w:type="spellEnd"/>
                      <w:r w:rsidRPr="00093291">
                        <w:rPr>
                          <w:sz w:val="20"/>
                        </w:rPr>
                        <w:t xml:space="preserve"> (i.e. P-MPR reporting in MAC CE for multiple beams according to RRC configuration).</w:t>
                      </w:r>
                    </w:p>
                    <w:p w:rsidR="009B3317" w:rsidRPr="003941F4" w:rsidRDefault="00093291" w:rsidP="00093291">
                      <w:pPr>
                        <w:pStyle w:val="ListParagraph"/>
                        <w:ind w:left="420"/>
                        <w:rPr>
                          <w:sz w:val="20"/>
                        </w:rPr>
                      </w:pPr>
                      <w:r w:rsidRPr="00093291">
                        <w:rPr>
                          <w:sz w:val="20"/>
                        </w:rPr>
                        <w:t>RAN2 understands that these parameters apply to the inter-cell beam management (ICBM) framework, but would like to understand if these MPE reporting changes would also apply to the multi-TRP (</w:t>
                      </w:r>
                      <w:proofErr w:type="spellStart"/>
                      <w:r w:rsidRPr="00093291">
                        <w:rPr>
                          <w:sz w:val="20"/>
                        </w:rPr>
                        <w:t>mTRP</w:t>
                      </w:r>
                      <w:proofErr w:type="spellEnd"/>
                      <w:r w:rsidRPr="00093291">
                        <w:rPr>
                          <w:sz w:val="20"/>
                        </w:rPr>
                        <w:t>) framework?</w:t>
                      </w:r>
                      <w:r w:rsidR="009B3317" w:rsidRPr="009B3317"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RAN1 has discussed </w:t>
      </w:r>
      <w:r w:rsidR="00093291">
        <w:rPr>
          <w:iCs/>
          <w:color w:val="000000" w:themeColor="text1"/>
          <w:sz w:val="20"/>
          <w:szCs w:val="20"/>
        </w:rPr>
        <w:t>question</w:t>
      </w:r>
      <w:r>
        <w:rPr>
          <w:iCs/>
          <w:color w:val="000000" w:themeColor="text1"/>
          <w:sz w:val="20"/>
          <w:szCs w:val="20"/>
        </w:rPr>
        <w:t xml:space="preserve"> and came to the following answer:</w: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E55DF9" w:rsidRPr="009B3317" w:rsidRDefault="00093291" w:rsidP="003259C9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The MPE configuration parameters designated for sub-feature “</w:t>
      </w:r>
      <w:proofErr w:type="spellStart"/>
      <w:r>
        <w:rPr>
          <w:iCs/>
          <w:color w:val="000000" w:themeColor="text1"/>
          <w:sz w:val="20"/>
          <w:szCs w:val="20"/>
        </w:rPr>
        <w:t>MultiBeam</w:t>
      </w:r>
      <w:proofErr w:type="spellEnd"/>
      <w:r>
        <w:rPr>
          <w:iCs/>
          <w:color w:val="000000" w:themeColor="text1"/>
          <w:sz w:val="20"/>
          <w:szCs w:val="20"/>
        </w:rPr>
        <w:t>” and corresponding MAC CE signaling only apply to the Rel-17 unified TCI framework including inter-cell beam management</w:t>
      </w:r>
      <w:r w:rsidR="003259C9" w:rsidRPr="003259C9">
        <w:rPr>
          <w:iCs/>
          <w:color w:val="000000" w:themeColor="text1"/>
          <w:sz w:val="20"/>
          <w:szCs w:val="20"/>
        </w:rPr>
        <w:t>.</w:t>
      </w:r>
      <w:r>
        <w:rPr>
          <w:iCs/>
          <w:color w:val="000000" w:themeColor="text1"/>
          <w:sz w:val="20"/>
          <w:szCs w:val="20"/>
        </w:rPr>
        <w:t xml:space="preserve"> These </w:t>
      </w:r>
      <w:r w:rsidR="008C0C18">
        <w:rPr>
          <w:iCs/>
          <w:color w:val="000000" w:themeColor="text1"/>
          <w:sz w:val="20"/>
          <w:szCs w:val="20"/>
        </w:rPr>
        <w:t>parameters and corresponding signaling</w:t>
      </w:r>
      <w:r>
        <w:rPr>
          <w:iCs/>
          <w:color w:val="000000" w:themeColor="text1"/>
          <w:sz w:val="20"/>
          <w:szCs w:val="20"/>
        </w:rPr>
        <w:t xml:space="preserve">, are not applicable to multi-TRP. 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>Actions</w:t>
      </w:r>
    </w:p>
    <w:p w:rsidR="001C1C79" w:rsidRPr="00FA0873" w:rsidRDefault="001C1C79" w:rsidP="001C1C79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 w:rsidR="008C0C18">
        <w:rPr>
          <w:sz w:val="20"/>
          <w:szCs w:val="20"/>
        </w:rPr>
        <w:t>2</w:t>
      </w:r>
    </w:p>
    <w:p w:rsidR="001C1C79" w:rsidRPr="00FA0873" w:rsidRDefault="001C1C79" w:rsidP="001C1C79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RAN2 to take the above into consideration</w:t>
      </w:r>
      <w:r>
        <w:rPr>
          <w:sz w:val="20"/>
          <w:szCs w:val="20"/>
        </w:rPr>
        <w:t>.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 xml:space="preserve">Dates of next </w:t>
      </w:r>
      <w:r w:rsidRPr="00FA0873">
        <w:rPr>
          <w:bCs/>
          <w:sz w:val="24"/>
          <w:szCs w:val="20"/>
        </w:rPr>
        <w:t xml:space="preserve">TSG </w:t>
      </w:r>
      <w:r>
        <w:rPr>
          <w:sz w:val="24"/>
          <w:szCs w:val="20"/>
        </w:rPr>
        <w:t>WG1</w:t>
      </w:r>
      <w:r w:rsidRPr="00FA0873">
        <w:rPr>
          <w:sz w:val="24"/>
          <w:szCs w:val="20"/>
        </w:rPr>
        <w:t xml:space="preserve"> meetings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</w:t>
      </w:r>
      <w:r w:rsidR="00602458">
        <w:rPr>
          <w:bCs/>
          <w:sz w:val="20"/>
          <w:szCs w:val="20"/>
          <w:lang w:val="it-IT"/>
        </w:rPr>
        <w:t>9</w:t>
      </w:r>
      <w:r>
        <w:rPr>
          <w:bCs/>
          <w:sz w:val="20"/>
          <w:szCs w:val="20"/>
          <w:lang w:val="it-IT"/>
        </w:rPr>
        <w:t>-e</w:t>
      </w:r>
      <w:r w:rsidRPr="00FA0873">
        <w:rPr>
          <w:bCs/>
          <w:sz w:val="20"/>
          <w:szCs w:val="20"/>
          <w:lang w:val="it-IT"/>
        </w:rPr>
        <w:tab/>
      </w:r>
      <w:r w:rsidR="00602458" w:rsidRPr="00602458">
        <w:rPr>
          <w:bCs/>
          <w:sz w:val="20"/>
          <w:szCs w:val="20"/>
          <w:lang w:val="it-IT"/>
        </w:rPr>
        <w:t>May 16th – 27th, 2022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lastRenderedPageBreak/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</w:t>
      </w:r>
      <w:r w:rsidR="00602458">
        <w:rPr>
          <w:bCs/>
          <w:sz w:val="20"/>
          <w:szCs w:val="20"/>
          <w:lang w:val="it-IT"/>
        </w:rPr>
        <w:t>10</w:t>
      </w:r>
      <w:r w:rsidRPr="00FA0873">
        <w:rPr>
          <w:bCs/>
          <w:sz w:val="20"/>
          <w:szCs w:val="20"/>
          <w:lang w:val="it-IT"/>
        </w:rPr>
        <w:tab/>
      </w:r>
      <w:r w:rsidR="00602458" w:rsidRPr="00602458">
        <w:rPr>
          <w:bCs/>
          <w:sz w:val="20"/>
          <w:szCs w:val="20"/>
          <w:lang w:val="it-IT"/>
        </w:rPr>
        <w:t>August 22nd –26th, 2022</w:t>
      </w:r>
      <w:r w:rsidRPr="00FA0873">
        <w:rPr>
          <w:bCs/>
          <w:sz w:val="20"/>
          <w:szCs w:val="20"/>
          <w:lang w:val="it-IT"/>
        </w:rPr>
        <w:tab/>
      </w:r>
      <w:r w:rsidR="00602458">
        <w:rPr>
          <w:bCs/>
          <w:sz w:val="20"/>
          <w:szCs w:val="20"/>
          <w:lang w:val="it-IT"/>
        </w:rPr>
        <w:t>Toulouse, FR</w:t>
      </w:r>
    </w:p>
    <w:p w:rsidR="001C1C79" w:rsidRPr="00FA0873" w:rsidRDefault="001C1C79" w:rsidP="001C1C79">
      <w:pPr>
        <w:rPr>
          <w:sz w:val="20"/>
          <w:szCs w:val="20"/>
        </w:rPr>
      </w:pPr>
    </w:p>
    <w:p w:rsidR="00AB141F" w:rsidRPr="001C1C79" w:rsidRDefault="00AB141F">
      <w:pPr>
        <w:rPr>
          <w:sz w:val="20"/>
          <w:szCs w:val="20"/>
        </w:rPr>
      </w:pPr>
    </w:p>
    <w:sectPr w:rsidR="00AB141F" w:rsidRPr="001C1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093291"/>
    <w:rsid w:val="001462CC"/>
    <w:rsid w:val="001C1C79"/>
    <w:rsid w:val="00271731"/>
    <w:rsid w:val="00305394"/>
    <w:rsid w:val="003259C9"/>
    <w:rsid w:val="00602458"/>
    <w:rsid w:val="00674044"/>
    <w:rsid w:val="008C0C18"/>
    <w:rsid w:val="009B3317"/>
    <w:rsid w:val="00A245C7"/>
    <w:rsid w:val="00AB141F"/>
    <w:rsid w:val="00C8116A"/>
    <w:rsid w:val="00DF0FBA"/>
    <w:rsid w:val="00E55DF9"/>
    <w:rsid w:val="00F0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CE1A5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9B3317"/>
    <w:pPr>
      <w:overflowPunct w:val="0"/>
      <w:autoSpaceDE w:val="0"/>
      <w:autoSpaceDN w:val="0"/>
      <w:adjustRightInd w:val="0"/>
      <w:spacing w:after="120" w:line="288" w:lineRule="auto"/>
      <w:ind w:left="720"/>
      <w:contextualSpacing/>
      <w:jc w:val="both"/>
      <w:textAlignment w:val="baseline"/>
    </w:pPr>
    <w:rPr>
      <w:rFonts w:eastAsia="SimSun"/>
      <w:sz w:val="22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C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C18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12</cp:revision>
  <dcterms:created xsi:type="dcterms:W3CDTF">2021-07-28T17:28:00Z</dcterms:created>
  <dcterms:modified xsi:type="dcterms:W3CDTF">2022-02-13T18:33:00Z</dcterms:modified>
</cp:coreProperties>
</file>